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AC42" w14:textId="262FAFD6" w:rsidR="00F975CF" w:rsidRDefault="007C7FB6">
      <w:r>
        <w:rPr>
          <w:noProof/>
        </w:rPr>
        <w:drawing>
          <wp:inline distT="0" distB="0" distL="0" distR="0" wp14:anchorId="4DDE793A" wp14:editId="2BC98850">
            <wp:extent cx="5852172" cy="762002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72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B81B" w14:textId="77777777" w:rsidR="007C7FB6" w:rsidRDefault="007C7FB6">
      <w:pPr>
        <w:rPr>
          <w:rFonts w:ascii="Arial" w:hAnsi="Arial" w:cs="Arial"/>
          <w:b/>
          <w:bCs/>
          <w:color w:val="444444"/>
          <w:sz w:val="21"/>
          <w:szCs w:val="21"/>
          <w:u w:val="single"/>
          <w:shd w:val="clear" w:color="auto" w:fill="FFFFFF"/>
        </w:rPr>
      </w:pPr>
    </w:p>
    <w:p w14:paraId="23D19AD4" w14:textId="77777777" w:rsidR="007C7FB6" w:rsidRDefault="007C7FB6" w:rsidP="007C7FB6">
      <w:pPr>
        <w:spacing w:after="0"/>
        <w:rPr>
          <w:b/>
          <w:bCs/>
          <w:color w:val="3B3838" w:themeColor="background2" w:themeShade="40"/>
          <w:sz w:val="24"/>
          <w:szCs w:val="24"/>
          <w:u w:val="single"/>
        </w:rPr>
      </w:pPr>
      <w:r w:rsidRPr="007C7FB6">
        <w:rPr>
          <w:rFonts w:ascii="Arial" w:hAnsi="Arial" w:cs="Arial"/>
          <w:b/>
          <w:bCs/>
          <w:color w:val="3B3838" w:themeColor="background2" w:themeShade="40"/>
          <w:sz w:val="21"/>
          <w:szCs w:val="21"/>
          <w:u w:val="single"/>
          <w:shd w:val="clear" w:color="auto" w:fill="FFFFFF"/>
        </w:rPr>
        <w:t>A</w:t>
      </w:r>
      <w:r w:rsidRPr="007C7FB6">
        <w:rPr>
          <w:rFonts w:ascii="Arial" w:hAnsi="Arial" w:cs="Arial"/>
          <w:b/>
          <w:bCs/>
          <w:color w:val="3B3838" w:themeColor="background2" w:themeShade="40"/>
          <w:sz w:val="21"/>
          <w:szCs w:val="21"/>
          <w:u w:val="single"/>
          <w:shd w:val="clear" w:color="auto" w:fill="FFFFFF"/>
        </w:rPr>
        <w:t xml:space="preserve">bstract </w:t>
      </w:r>
      <w:r w:rsidRPr="007C7FB6">
        <w:rPr>
          <w:rFonts w:ascii="Arial" w:hAnsi="Arial" w:cs="Arial"/>
          <w:b/>
          <w:bCs/>
          <w:color w:val="3B3838" w:themeColor="background2" w:themeShade="40"/>
          <w:sz w:val="21"/>
          <w:szCs w:val="21"/>
          <w:u w:val="single"/>
          <w:shd w:val="clear" w:color="auto" w:fill="FFFFFF"/>
        </w:rPr>
        <w:t>C</w:t>
      </w:r>
      <w:r w:rsidRPr="007C7FB6">
        <w:rPr>
          <w:rFonts w:ascii="Arial" w:hAnsi="Arial" w:cs="Arial"/>
          <w:b/>
          <w:bCs/>
          <w:color w:val="3B3838" w:themeColor="background2" w:themeShade="40"/>
          <w:sz w:val="21"/>
          <w:szCs w:val="21"/>
          <w:u w:val="single"/>
          <w:shd w:val="clear" w:color="auto" w:fill="FFFFFF"/>
        </w:rPr>
        <w:t>ategories</w:t>
      </w:r>
    </w:p>
    <w:p w14:paraId="5D155EFF" w14:textId="77777777" w:rsidR="007C7FB6" w:rsidRDefault="007C7FB6" w:rsidP="007C7FB6">
      <w:pPr>
        <w:spacing w:after="0"/>
        <w:rPr>
          <w:b/>
          <w:bCs/>
          <w:color w:val="3B3838" w:themeColor="background2" w:themeShade="40"/>
          <w:sz w:val="24"/>
          <w:szCs w:val="24"/>
          <w:u w:val="single"/>
        </w:rPr>
      </w:pPr>
    </w:p>
    <w:p w14:paraId="68670E37" w14:textId="3B2D8A09" w:rsidR="007C7FB6" w:rsidRPr="007C7FB6" w:rsidRDefault="007C7FB6" w:rsidP="007C7FB6">
      <w:pPr>
        <w:rPr>
          <w:b/>
          <w:bCs/>
          <w:color w:val="3B3838" w:themeColor="background2" w:themeShade="40"/>
          <w:sz w:val="24"/>
          <w:szCs w:val="24"/>
          <w:u w:val="single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Basic Science | Genomics</w:t>
      </w:r>
    </w:p>
    <w:p w14:paraId="54993AB5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Basic Science | Other</w:t>
      </w:r>
    </w:p>
    <w:p w14:paraId="156E0CB8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Basic Science | Preclinical Models</w:t>
      </w:r>
    </w:p>
    <w:p w14:paraId="39EAB5F4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Big data in Sarcomas</w:t>
      </w:r>
    </w:p>
    <w:p w14:paraId="7C531393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Bone Sarcomas</w:t>
      </w:r>
    </w:p>
    <w:p w14:paraId="1A22E89D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Radiology &amp; Radiomics</w:t>
      </w:r>
    </w:p>
    <w:p w14:paraId="48428C67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GIST</w:t>
      </w:r>
    </w:p>
    <w:p w14:paraId="3C111C31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Low grade and indolent mesenchymal tumors</w:t>
      </w:r>
    </w:p>
    <w:p w14:paraId="7773564B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Medical, Pediatric and Young Adult Oncology</w:t>
      </w:r>
    </w:p>
    <w:p w14:paraId="1EC27AED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Multidisciplinary Sarcoma Diagnostics &amp; Care</w:t>
      </w:r>
    </w:p>
    <w:p w14:paraId="25F29D5B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Pathology</w:t>
      </w:r>
    </w:p>
    <w:p w14:paraId="678B7BEE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Radiation Oncology</w:t>
      </w:r>
    </w:p>
    <w:p w14:paraId="6D1E4B6D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Rehabilitation, physical therapy, PRO and QoL</w:t>
      </w:r>
    </w:p>
    <w:p w14:paraId="3E407901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Retroperitoneal Sarcomas</w:t>
      </w:r>
    </w:p>
    <w:p w14:paraId="4A6EDE20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Role of Neoadjuvant therapy</w:t>
      </w:r>
    </w:p>
    <w:p w14:paraId="1A4C4566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Sarcoma care and COVID19</w:t>
      </w:r>
    </w:p>
    <w:p w14:paraId="7B0F1060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Surgery</w:t>
      </w:r>
    </w:p>
    <w:p w14:paraId="0BF4272B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Translocation-Associated Sarcomas</w:t>
      </w:r>
    </w:p>
    <w:p w14:paraId="308F4C80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Treatment of Oligometastatic disease</w:t>
      </w:r>
    </w:p>
    <w:p w14:paraId="0476A6F7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proofErr w:type="spellStart"/>
      <w:r w:rsidRPr="007C7FB6">
        <w:rPr>
          <w:b/>
          <w:bCs/>
          <w:color w:val="767171" w:themeColor="background2" w:themeShade="80"/>
          <w:sz w:val="24"/>
          <w:szCs w:val="24"/>
        </w:rPr>
        <w:t>Ultra Rare</w:t>
      </w:r>
      <w:proofErr w:type="spellEnd"/>
      <w:r w:rsidRPr="007C7FB6">
        <w:rPr>
          <w:b/>
          <w:bCs/>
          <w:color w:val="767171" w:themeColor="background2" w:themeShade="80"/>
          <w:sz w:val="24"/>
          <w:szCs w:val="24"/>
        </w:rPr>
        <w:t xml:space="preserve"> Sarcomas and Other Sarcomas</w:t>
      </w:r>
    </w:p>
    <w:p w14:paraId="56F00AC0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Unclassified and Pleomorphic Sarcomas</w:t>
      </w:r>
    </w:p>
    <w:p w14:paraId="51D94A5B" w14:textId="77777777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Upcoming and ongoing trials; project pitches and what have we learned in trial design?</w:t>
      </w:r>
    </w:p>
    <w:p w14:paraId="385B7DB7" w14:textId="18066066" w:rsidR="007C7FB6" w:rsidRPr="007C7FB6" w:rsidRDefault="007C7FB6" w:rsidP="007C7FB6">
      <w:pPr>
        <w:rPr>
          <w:b/>
          <w:bCs/>
          <w:color w:val="767171" w:themeColor="background2" w:themeShade="80"/>
          <w:sz w:val="24"/>
          <w:szCs w:val="24"/>
        </w:rPr>
      </w:pPr>
      <w:r w:rsidRPr="007C7FB6">
        <w:rPr>
          <w:b/>
          <w:bCs/>
          <w:color w:val="767171" w:themeColor="background2" w:themeShade="80"/>
          <w:sz w:val="24"/>
          <w:szCs w:val="24"/>
        </w:rPr>
        <w:t>Immunology &amp; Immunotherapy</w:t>
      </w:r>
    </w:p>
    <w:sectPr w:rsidR="007C7FB6" w:rsidRPr="007C7FB6" w:rsidSect="007C7FB6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B6"/>
    <w:rsid w:val="003C0641"/>
    <w:rsid w:val="007C7FB6"/>
    <w:rsid w:val="009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A7E9"/>
  <w15:chartTrackingRefBased/>
  <w15:docId w15:val="{7AD161CA-87A7-48DC-B95B-B6EAB919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Siembieda</dc:creator>
  <cp:keywords/>
  <dc:description/>
  <cp:lastModifiedBy>Corey Siembieda</cp:lastModifiedBy>
  <cp:revision>1</cp:revision>
  <dcterms:created xsi:type="dcterms:W3CDTF">2021-03-31T20:52:00Z</dcterms:created>
  <dcterms:modified xsi:type="dcterms:W3CDTF">2021-03-31T20:57:00Z</dcterms:modified>
</cp:coreProperties>
</file>